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21" w:rsidRPr="00197821" w:rsidRDefault="00197821" w:rsidP="00197821">
      <w:pPr>
        <w:jc w:val="center"/>
        <w:rPr>
          <w:rFonts w:cstheme="minorHAnsi"/>
          <w:sz w:val="28"/>
        </w:rPr>
      </w:pPr>
      <w:r w:rsidRPr="00197821">
        <w:rPr>
          <w:rFonts w:cstheme="minorHAnsi"/>
          <w:sz w:val="28"/>
        </w:rPr>
        <w:t>LEY DE CONTABILIDAD GUBERNAMENTAL</w:t>
      </w:r>
    </w:p>
    <w:p w:rsidR="00197821" w:rsidRPr="00197821" w:rsidRDefault="00197821" w:rsidP="00197821">
      <w:pPr>
        <w:spacing w:after="0"/>
        <w:jc w:val="center"/>
        <w:rPr>
          <w:rFonts w:cstheme="minorHAnsi"/>
          <w:sz w:val="28"/>
        </w:rPr>
      </w:pPr>
      <w:bookmarkStart w:id="0" w:name="_GoBack"/>
      <w:bookmarkEnd w:id="0"/>
      <w:r w:rsidRPr="00197821">
        <w:rPr>
          <w:rFonts w:cstheme="minorHAnsi"/>
          <w:sz w:val="28"/>
        </w:rPr>
        <w:t>TITULO V.- De la Transparencia y Difusión</w:t>
      </w:r>
    </w:p>
    <w:p w:rsidR="00197821" w:rsidRDefault="00197821" w:rsidP="00197821">
      <w:pPr>
        <w:spacing w:after="0"/>
        <w:jc w:val="center"/>
        <w:rPr>
          <w:rFonts w:cstheme="minorHAnsi"/>
          <w:sz w:val="28"/>
        </w:rPr>
      </w:pPr>
      <w:r w:rsidRPr="00197821">
        <w:rPr>
          <w:rFonts w:cstheme="minorHAnsi"/>
          <w:sz w:val="28"/>
        </w:rPr>
        <w:t>De la Información Financiera</w:t>
      </w:r>
    </w:p>
    <w:p w:rsidR="00197821" w:rsidRPr="00197821" w:rsidRDefault="00197821" w:rsidP="00197821">
      <w:pPr>
        <w:spacing w:after="0"/>
        <w:jc w:val="center"/>
        <w:rPr>
          <w:rFonts w:cstheme="minorHAnsi"/>
          <w:sz w:val="28"/>
        </w:rPr>
      </w:pPr>
    </w:p>
    <w:p w:rsidR="00863A34" w:rsidRDefault="00D76131" w:rsidP="008F7BD9">
      <w:pPr>
        <w:ind w:left="-1134" w:right="-993"/>
        <w:jc w:val="center"/>
        <w:rPr>
          <w:rFonts w:cstheme="minorHAnsi"/>
          <w:b/>
          <w:sz w:val="24"/>
        </w:rPr>
      </w:pPr>
      <w:r w:rsidRPr="00197821">
        <w:rPr>
          <w:rFonts w:cstheme="minorHAnsi"/>
          <w:b/>
          <w:sz w:val="24"/>
        </w:rPr>
        <w:t>14. Norma para establecer la estructura de la información del formato de aplicación de recursos del Fondo de Aportaciones para el Fortalecimiento de los Municipios y de las Demarcaciones Territoriales del Distrito Federal (FORTAMUN)</w:t>
      </w:r>
    </w:p>
    <w:p w:rsidR="00197821" w:rsidRPr="00197821" w:rsidRDefault="00197821" w:rsidP="00197821">
      <w:pPr>
        <w:jc w:val="center"/>
        <w:rPr>
          <w:rFonts w:cstheme="minorHAnsi"/>
          <w:b/>
          <w:sz w:val="24"/>
        </w:rPr>
      </w:pPr>
    </w:p>
    <w:tbl>
      <w:tblPr>
        <w:tblStyle w:val="Tabladecuadrcula5oscura-nfasis3"/>
        <w:tblW w:w="10774" w:type="dxa"/>
        <w:tblInd w:w="-14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67"/>
        <w:gridCol w:w="8807"/>
      </w:tblGrid>
      <w:tr w:rsidR="0048239A" w:rsidRPr="00B94AAB" w:rsidTr="00E15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B3838" w:themeFill="background2" w:themeFillShade="40"/>
            <w:vAlign w:val="center"/>
          </w:tcPr>
          <w:p w:rsidR="0048239A" w:rsidRPr="00B94AAB" w:rsidRDefault="0048239A" w:rsidP="00B94AAB">
            <w:pPr>
              <w:jc w:val="center"/>
              <w:rPr>
                <w:rFonts w:ascii="Azo Sans Md" w:hAnsi="Azo Sans Md"/>
                <w:b w:val="0"/>
              </w:rPr>
            </w:pPr>
            <w:r w:rsidRPr="00B94AAB">
              <w:rPr>
                <w:rFonts w:ascii="Azo Sans Md" w:hAnsi="Azo Sans Md"/>
                <w:b w:val="0"/>
              </w:rPr>
              <w:t>Municipio</w:t>
            </w:r>
          </w:p>
        </w:tc>
        <w:tc>
          <w:tcPr>
            <w:tcW w:w="88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B3838" w:themeFill="background2" w:themeFillShade="40"/>
            <w:vAlign w:val="center"/>
          </w:tcPr>
          <w:p w:rsidR="0048239A" w:rsidRPr="00B94AAB" w:rsidRDefault="0048239A" w:rsidP="00B94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zo Sans Md" w:hAnsi="Azo Sans Md"/>
                <w:b w:val="0"/>
              </w:rPr>
            </w:pPr>
            <w:r w:rsidRPr="00B94AAB">
              <w:rPr>
                <w:rFonts w:ascii="Azo Sans Md" w:hAnsi="Azo Sans Md"/>
                <w:b w:val="0"/>
              </w:rPr>
              <w:t>Hipervínculo</w:t>
            </w:r>
          </w:p>
        </w:tc>
      </w:tr>
      <w:tr w:rsidR="0048239A" w:rsidRPr="00B94AAB" w:rsidTr="00E1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one" w:sz="0" w:space="0" w:color="auto"/>
            </w:tcBorders>
            <w:vAlign w:val="center"/>
          </w:tcPr>
          <w:p w:rsidR="0048239A" w:rsidRPr="00E15AA8" w:rsidRDefault="0048239A" w:rsidP="00B94AAB">
            <w:pPr>
              <w:jc w:val="center"/>
              <w:rPr>
                <w:rFonts w:ascii="Azo Sans" w:hAnsi="Azo Sans"/>
                <w:b w:val="0"/>
                <w:sz w:val="24"/>
              </w:rPr>
            </w:pPr>
            <w:r w:rsidRPr="00E15AA8">
              <w:rPr>
                <w:rFonts w:ascii="Azo Sans" w:hAnsi="Azo Sans"/>
                <w:b w:val="0"/>
                <w:sz w:val="24"/>
              </w:rPr>
              <w:t>Calakmul</w:t>
            </w:r>
          </w:p>
        </w:tc>
        <w:tc>
          <w:tcPr>
            <w:tcW w:w="8807" w:type="dxa"/>
            <w:vAlign w:val="center"/>
          </w:tcPr>
          <w:p w:rsidR="0048239A" w:rsidRPr="00E15AA8" w:rsidRDefault="0048239A" w:rsidP="00B9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zo Sans" w:hAnsi="Azo Sans"/>
              </w:rPr>
            </w:pPr>
            <w:r w:rsidRPr="00E15AA8">
              <w:rPr>
                <w:rFonts w:ascii="Azo Sans" w:hAnsi="Azo Sans"/>
              </w:rPr>
              <w:t>http://www.calakmul.gob.mx/portal/Tesoreria.php</w:t>
            </w:r>
          </w:p>
        </w:tc>
      </w:tr>
      <w:tr w:rsidR="0048239A" w:rsidRPr="00B94AAB" w:rsidTr="00E15AA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one" w:sz="0" w:space="0" w:color="auto"/>
            </w:tcBorders>
            <w:vAlign w:val="center"/>
          </w:tcPr>
          <w:p w:rsidR="0048239A" w:rsidRPr="00E15AA8" w:rsidRDefault="0048239A" w:rsidP="00B94AAB">
            <w:pPr>
              <w:jc w:val="center"/>
              <w:rPr>
                <w:rFonts w:ascii="Azo Sans" w:hAnsi="Azo Sans"/>
                <w:b w:val="0"/>
                <w:sz w:val="24"/>
              </w:rPr>
            </w:pPr>
            <w:r w:rsidRPr="00E15AA8">
              <w:rPr>
                <w:rFonts w:ascii="Azo Sans" w:hAnsi="Azo Sans"/>
                <w:b w:val="0"/>
                <w:sz w:val="24"/>
              </w:rPr>
              <w:t>Calkiní</w:t>
            </w:r>
          </w:p>
        </w:tc>
        <w:tc>
          <w:tcPr>
            <w:tcW w:w="8807" w:type="dxa"/>
            <w:vAlign w:val="center"/>
          </w:tcPr>
          <w:p w:rsidR="0048239A" w:rsidRPr="00E15AA8" w:rsidRDefault="0048239A" w:rsidP="00B9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zo Sans" w:hAnsi="Azo Sans"/>
              </w:rPr>
            </w:pPr>
            <w:r w:rsidRPr="00E15AA8">
              <w:rPr>
                <w:rFonts w:ascii="Azo Sans" w:hAnsi="Azo Sans"/>
              </w:rPr>
              <w:t>http://calkini.gob.mx/transparencia/index.html</w:t>
            </w:r>
          </w:p>
        </w:tc>
      </w:tr>
      <w:tr w:rsidR="0048239A" w:rsidRPr="00B94AAB" w:rsidTr="00E1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one" w:sz="0" w:space="0" w:color="auto"/>
            </w:tcBorders>
            <w:vAlign w:val="center"/>
          </w:tcPr>
          <w:p w:rsidR="0048239A" w:rsidRPr="00E15AA8" w:rsidRDefault="0048239A" w:rsidP="00B94AAB">
            <w:pPr>
              <w:jc w:val="center"/>
              <w:rPr>
                <w:rFonts w:ascii="Azo Sans" w:hAnsi="Azo Sans"/>
                <w:b w:val="0"/>
                <w:sz w:val="24"/>
              </w:rPr>
            </w:pPr>
            <w:r w:rsidRPr="00E15AA8">
              <w:rPr>
                <w:rFonts w:ascii="Azo Sans" w:hAnsi="Azo Sans"/>
                <w:b w:val="0"/>
                <w:sz w:val="24"/>
              </w:rPr>
              <w:t>Campeche</w:t>
            </w:r>
          </w:p>
        </w:tc>
        <w:tc>
          <w:tcPr>
            <w:tcW w:w="8807" w:type="dxa"/>
            <w:vAlign w:val="center"/>
          </w:tcPr>
          <w:p w:rsidR="0048239A" w:rsidRPr="00E15AA8" w:rsidRDefault="0048239A" w:rsidP="00B9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zo Sans" w:hAnsi="Azo Sans"/>
              </w:rPr>
            </w:pPr>
            <w:r w:rsidRPr="00E15AA8">
              <w:rPr>
                <w:rFonts w:ascii="Azo Sans" w:hAnsi="Azo Sans"/>
              </w:rPr>
              <w:t>http://municipiocampeche.mx/transparencia/difusion-informacion-financiera-ley-general-contabilidad-gubernamental-2016.html</w:t>
            </w:r>
          </w:p>
        </w:tc>
      </w:tr>
      <w:tr w:rsidR="0048239A" w:rsidRPr="00B94AAB" w:rsidTr="00E15AA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one" w:sz="0" w:space="0" w:color="auto"/>
            </w:tcBorders>
            <w:vAlign w:val="center"/>
          </w:tcPr>
          <w:p w:rsidR="0048239A" w:rsidRPr="00E15AA8" w:rsidRDefault="0048239A" w:rsidP="00B94AAB">
            <w:pPr>
              <w:jc w:val="center"/>
              <w:rPr>
                <w:rFonts w:ascii="Azo Sans" w:hAnsi="Azo Sans"/>
                <w:b w:val="0"/>
                <w:sz w:val="24"/>
              </w:rPr>
            </w:pPr>
            <w:r w:rsidRPr="00E15AA8">
              <w:rPr>
                <w:rFonts w:ascii="Azo Sans" w:hAnsi="Azo Sans"/>
                <w:b w:val="0"/>
                <w:sz w:val="24"/>
              </w:rPr>
              <w:t>Candelaria</w:t>
            </w:r>
          </w:p>
        </w:tc>
        <w:tc>
          <w:tcPr>
            <w:tcW w:w="8807" w:type="dxa"/>
            <w:vAlign w:val="center"/>
          </w:tcPr>
          <w:p w:rsidR="0048239A" w:rsidRPr="00E15AA8" w:rsidRDefault="0048239A" w:rsidP="00B9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zo Sans" w:hAnsi="Azo Sans"/>
              </w:rPr>
            </w:pPr>
            <w:r w:rsidRPr="00E15AA8">
              <w:rPr>
                <w:rFonts w:ascii="Azo Sans" w:hAnsi="Azo Sans"/>
              </w:rPr>
              <w:t>http://www.candelaria.gob.mx/#!/tesoreria</w:t>
            </w:r>
          </w:p>
        </w:tc>
      </w:tr>
      <w:tr w:rsidR="0048239A" w:rsidRPr="00B94AAB" w:rsidTr="00E1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one" w:sz="0" w:space="0" w:color="auto"/>
            </w:tcBorders>
            <w:vAlign w:val="center"/>
          </w:tcPr>
          <w:p w:rsidR="0048239A" w:rsidRPr="00E15AA8" w:rsidRDefault="0048239A" w:rsidP="00B94AAB">
            <w:pPr>
              <w:jc w:val="center"/>
              <w:rPr>
                <w:rFonts w:ascii="Azo Sans" w:hAnsi="Azo Sans"/>
                <w:b w:val="0"/>
                <w:sz w:val="24"/>
              </w:rPr>
            </w:pPr>
            <w:r w:rsidRPr="00E15AA8">
              <w:rPr>
                <w:rFonts w:ascii="Azo Sans" w:hAnsi="Azo Sans"/>
                <w:b w:val="0"/>
                <w:sz w:val="24"/>
              </w:rPr>
              <w:t>Carmen</w:t>
            </w:r>
          </w:p>
        </w:tc>
        <w:tc>
          <w:tcPr>
            <w:tcW w:w="8807" w:type="dxa"/>
            <w:vAlign w:val="center"/>
          </w:tcPr>
          <w:p w:rsidR="0048239A" w:rsidRPr="00E15AA8" w:rsidRDefault="0048239A" w:rsidP="00B9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zo Sans" w:hAnsi="Azo Sans"/>
              </w:rPr>
            </w:pPr>
            <w:r w:rsidRPr="00E15AA8">
              <w:rPr>
                <w:rFonts w:ascii="Azo Sans" w:hAnsi="Azo Sans"/>
              </w:rPr>
              <w:t>http://www.carmen.gob.mx/transparencia/web/indice_ob.aspx</w:t>
            </w:r>
          </w:p>
        </w:tc>
      </w:tr>
      <w:tr w:rsidR="0048239A" w:rsidRPr="00B94AAB" w:rsidTr="00E15AA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one" w:sz="0" w:space="0" w:color="auto"/>
            </w:tcBorders>
            <w:vAlign w:val="center"/>
          </w:tcPr>
          <w:p w:rsidR="0048239A" w:rsidRPr="00E15AA8" w:rsidRDefault="0048239A" w:rsidP="00B94AAB">
            <w:pPr>
              <w:jc w:val="center"/>
              <w:rPr>
                <w:rFonts w:ascii="Azo Sans" w:hAnsi="Azo Sans"/>
                <w:b w:val="0"/>
                <w:sz w:val="24"/>
              </w:rPr>
            </w:pPr>
            <w:r w:rsidRPr="00E15AA8">
              <w:rPr>
                <w:rFonts w:ascii="Azo Sans" w:hAnsi="Azo Sans"/>
                <w:b w:val="0"/>
                <w:sz w:val="24"/>
              </w:rPr>
              <w:t>Champotón</w:t>
            </w:r>
          </w:p>
        </w:tc>
        <w:tc>
          <w:tcPr>
            <w:tcW w:w="8807" w:type="dxa"/>
            <w:vAlign w:val="center"/>
          </w:tcPr>
          <w:p w:rsidR="0048239A" w:rsidRPr="00E15AA8" w:rsidRDefault="0048239A" w:rsidP="00B9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zo Sans" w:hAnsi="Azo Sans"/>
              </w:rPr>
            </w:pPr>
            <w:r w:rsidRPr="00E15AA8">
              <w:rPr>
                <w:rFonts w:ascii="Azo Sans" w:hAnsi="Azo Sans"/>
              </w:rPr>
              <w:t>http://www.transparencia.champoton.gob.mx/index2.html</w:t>
            </w:r>
          </w:p>
        </w:tc>
      </w:tr>
      <w:tr w:rsidR="0048239A" w:rsidRPr="00B94AAB" w:rsidTr="00E1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one" w:sz="0" w:space="0" w:color="auto"/>
            </w:tcBorders>
            <w:vAlign w:val="center"/>
          </w:tcPr>
          <w:p w:rsidR="0048239A" w:rsidRPr="00E15AA8" w:rsidRDefault="0048239A" w:rsidP="00B94AAB">
            <w:pPr>
              <w:jc w:val="center"/>
              <w:rPr>
                <w:rFonts w:ascii="Azo Sans" w:hAnsi="Azo Sans"/>
                <w:b w:val="0"/>
                <w:sz w:val="24"/>
              </w:rPr>
            </w:pPr>
            <w:r w:rsidRPr="00E15AA8">
              <w:rPr>
                <w:rFonts w:ascii="Azo Sans" w:hAnsi="Azo Sans"/>
                <w:b w:val="0"/>
                <w:sz w:val="24"/>
              </w:rPr>
              <w:t>Escárcega</w:t>
            </w:r>
          </w:p>
        </w:tc>
        <w:tc>
          <w:tcPr>
            <w:tcW w:w="8807" w:type="dxa"/>
            <w:vAlign w:val="center"/>
          </w:tcPr>
          <w:p w:rsidR="0048239A" w:rsidRPr="00E15AA8" w:rsidRDefault="0048239A" w:rsidP="00B9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zo Sans" w:hAnsi="Azo Sans"/>
              </w:rPr>
            </w:pPr>
            <w:r w:rsidRPr="00E15AA8">
              <w:rPr>
                <w:rFonts w:ascii="Azo Sans" w:hAnsi="Azo Sans"/>
              </w:rPr>
              <w:t>http://www.escarcega.gob.mx/contabilidad-gubernamental.html</w:t>
            </w:r>
          </w:p>
        </w:tc>
      </w:tr>
      <w:tr w:rsidR="0048239A" w:rsidRPr="00B94AAB" w:rsidTr="00E15AA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one" w:sz="0" w:space="0" w:color="auto"/>
            </w:tcBorders>
            <w:vAlign w:val="center"/>
          </w:tcPr>
          <w:p w:rsidR="0048239A" w:rsidRPr="00E15AA8" w:rsidRDefault="0048239A" w:rsidP="00B94AAB">
            <w:pPr>
              <w:jc w:val="center"/>
              <w:rPr>
                <w:rFonts w:ascii="Azo Sans" w:hAnsi="Azo Sans"/>
                <w:b w:val="0"/>
                <w:sz w:val="24"/>
              </w:rPr>
            </w:pPr>
            <w:r w:rsidRPr="00E15AA8">
              <w:rPr>
                <w:rFonts w:ascii="Azo Sans" w:hAnsi="Azo Sans"/>
                <w:b w:val="0"/>
                <w:sz w:val="24"/>
              </w:rPr>
              <w:t>Hecelchakán</w:t>
            </w:r>
          </w:p>
        </w:tc>
        <w:tc>
          <w:tcPr>
            <w:tcW w:w="8807" w:type="dxa"/>
            <w:vAlign w:val="center"/>
          </w:tcPr>
          <w:p w:rsidR="0048239A" w:rsidRPr="00E15AA8" w:rsidRDefault="0048239A" w:rsidP="00B9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zo Sans" w:hAnsi="Azo Sans"/>
              </w:rPr>
            </w:pPr>
            <w:r w:rsidRPr="00E15AA8">
              <w:rPr>
                <w:rFonts w:ascii="Azo Sans" w:hAnsi="Azo Sans"/>
              </w:rPr>
              <w:t>http://hecelchakan.gob.mx/estructura/</w:t>
            </w:r>
          </w:p>
        </w:tc>
      </w:tr>
      <w:tr w:rsidR="0048239A" w:rsidRPr="00B94AAB" w:rsidTr="00E1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one" w:sz="0" w:space="0" w:color="auto"/>
            </w:tcBorders>
            <w:vAlign w:val="center"/>
          </w:tcPr>
          <w:p w:rsidR="0048239A" w:rsidRPr="00E15AA8" w:rsidRDefault="0048239A" w:rsidP="00B94AAB">
            <w:pPr>
              <w:jc w:val="center"/>
              <w:rPr>
                <w:rFonts w:ascii="Azo Sans" w:hAnsi="Azo Sans"/>
                <w:b w:val="0"/>
                <w:sz w:val="24"/>
              </w:rPr>
            </w:pPr>
            <w:r w:rsidRPr="00E15AA8">
              <w:rPr>
                <w:rFonts w:ascii="Azo Sans" w:hAnsi="Azo Sans"/>
                <w:b w:val="0"/>
                <w:sz w:val="24"/>
              </w:rPr>
              <w:t>Hopelchén</w:t>
            </w:r>
          </w:p>
        </w:tc>
        <w:tc>
          <w:tcPr>
            <w:tcW w:w="8807" w:type="dxa"/>
            <w:vAlign w:val="center"/>
          </w:tcPr>
          <w:p w:rsidR="0048239A" w:rsidRPr="00E15AA8" w:rsidRDefault="008F7BD9" w:rsidP="00B9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zo Sans" w:hAnsi="Azo Sans"/>
              </w:rPr>
            </w:pPr>
            <w:r w:rsidRPr="008F7BD9">
              <w:rPr>
                <w:rFonts w:ascii="Azo Sans" w:hAnsi="Azo Sans"/>
              </w:rPr>
              <w:t>http://www.ayuntamientodehopelchen.com/transparencia/h.-ayuntamiento.html</w:t>
            </w:r>
          </w:p>
        </w:tc>
      </w:tr>
      <w:tr w:rsidR="0048239A" w:rsidRPr="00B94AAB" w:rsidTr="00E15AA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one" w:sz="0" w:space="0" w:color="auto"/>
            </w:tcBorders>
            <w:vAlign w:val="center"/>
          </w:tcPr>
          <w:p w:rsidR="0048239A" w:rsidRPr="00E15AA8" w:rsidRDefault="0048239A" w:rsidP="00B94AAB">
            <w:pPr>
              <w:jc w:val="center"/>
              <w:rPr>
                <w:rFonts w:ascii="Azo Sans" w:hAnsi="Azo Sans"/>
                <w:b w:val="0"/>
                <w:sz w:val="24"/>
              </w:rPr>
            </w:pPr>
            <w:r w:rsidRPr="00E15AA8">
              <w:rPr>
                <w:rFonts w:ascii="Azo Sans" w:hAnsi="Azo Sans"/>
                <w:b w:val="0"/>
                <w:sz w:val="24"/>
              </w:rPr>
              <w:t>Palizada</w:t>
            </w:r>
          </w:p>
        </w:tc>
        <w:tc>
          <w:tcPr>
            <w:tcW w:w="8807" w:type="dxa"/>
            <w:vAlign w:val="center"/>
          </w:tcPr>
          <w:p w:rsidR="0048239A" w:rsidRPr="00E15AA8" w:rsidRDefault="0048239A" w:rsidP="00B9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zo Sans" w:hAnsi="Azo Sans"/>
              </w:rPr>
            </w:pPr>
            <w:r w:rsidRPr="00E15AA8">
              <w:rPr>
                <w:rFonts w:ascii="Azo Sans" w:hAnsi="Azo Sans"/>
              </w:rPr>
              <w:t>http://www.palizada.gob.mx/transparencia/index.php/conac-articulos/20-lgcg-2015/39-trimestral-art</w:t>
            </w:r>
          </w:p>
        </w:tc>
      </w:tr>
      <w:tr w:rsidR="0048239A" w:rsidRPr="00B94AAB" w:rsidTr="00E1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48239A" w:rsidRPr="00E15AA8" w:rsidRDefault="0048239A" w:rsidP="00B94AAB">
            <w:pPr>
              <w:jc w:val="center"/>
              <w:rPr>
                <w:rFonts w:ascii="Azo Sans" w:hAnsi="Azo Sans"/>
                <w:b w:val="0"/>
                <w:sz w:val="24"/>
              </w:rPr>
            </w:pPr>
            <w:r w:rsidRPr="00E15AA8">
              <w:rPr>
                <w:rFonts w:ascii="Azo Sans" w:hAnsi="Azo Sans"/>
                <w:b w:val="0"/>
                <w:sz w:val="24"/>
              </w:rPr>
              <w:t>Tenabo</w:t>
            </w:r>
          </w:p>
        </w:tc>
        <w:tc>
          <w:tcPr>
            <w:tcW w:w="8807" w:type="dxa"/>
            <w:vAlign w:val="center"/>
          </w:tcPr>
          <w:p w:rsidR="0048239A" w:rsidRPr="00E15AA8" w:rsidRDefault="008F7BD9" w:rsidP="00B9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zo Sans" w:hAnsi="Azo Sans"/>
              </w:rPr>
            </w:pPr>
            <w:r w:rsidRPr="008F7BD9">
              <w:rPr>
                <w:rFonts w:ascii="Azo Sans" w:hAnsi="Azo Sans"/>
              </w:rPr>
              <w:t>http://www.tenabo.mx/transparencia%20lgcg/index(2).html</w:t>
            </w:r>
          </w:p>
        </w:tc>
      </w:tr>
    </w:tbl>
    <w:p w:rsidR="00D76131" w:rsidRDefault="008F7B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119380</wp:posOffset>
                </wp:positionH>
                <wp:positionV relativeFrom="paragraph">
                  <wp:posOffset>134711</wp:posOffset>
                </wp:positionV>
                <wp:extent cx="7413171" cy="1404620"/>
                <wp:effectExtent l="0" t="0" r="0" b="19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31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D9" w:rsidRDefault="008F7BD9" w:rsidP="008F7BD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8F7BD9">
                              <w:rPr>
                                <w:b/>
                              </w:rPr>
                              <w:t>Ámbito de aplicación:</w:t>
                            </w:r>
                            <w:r>
                              <w:t xml:space="preserve"> </w:t>
                            </w:r>
                            <w:r>
                              <w:t>Las presentes disposiciones serán de observancia obligatoria para los municipios, las demarcaciones territoriales del Distrito Federal y en su caso las entidades federativas.</w:t>
                            </w:r>
                          </w:p>
                          <w:p w:rsidR="008F7BD9" w:rsidRDefault="008F7BD9" w:rsidP="008F7BD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8F7BD9">
                              <w:rPr>
                                <w:b/>
                              </w:rPr>
                              <w:t>Norma:</w:t>
                            </w:r>
                            <w:r>
                              <w:t xml:space="preserve"> En apego al artículo 76 de la Ley General de </w:t>
                            </w:r>
                            <w:r>
                              <w:t>Contabilidad</w:t>
                            </w:r>
                            <w:r>
                              <w:t xml:space="preserve"> </w:t>
                            </w:r>
                            <w:r>
                              <w:t>Gubern</w:t>
                            </w:r>
                            <w:r>
                              <w:t xml:space="preserve">amental, los entes obligados </w:t>
                            </w:r>
                            <w:r>
                              <w:t>difundirán en Internet la información relativa al FORTAMUN, especificando cada uno de los destinos</w:t>
                            </w:r>
                            <w:r>
                              <w:t xml:space="preserve"> </w:t>
                            </w:r>
                            <w:r>
                              <w:t>señalados para dicho Fondo en la Ley de Coordinación Fiscal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4pt;margin-top:10.6pt;width:58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" filled="f" stroked="f">
                <v:textbox style="mso-fit-shape-to-text:t">
                  <w:txbxContent>
                    <w:p w:rsidR="008F7BD9" w:rsidRDefault="008F7BD9" w:rsidP="008F7BD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8F7BD9">
                        <w:rPr>
                          <w:b/>
                        </w:rPr>
                        <w:t>Ámbito de aplicación:</w:t>
                      </w:r>
                      <w:r>
                        <w:t xml:space="preserve"> </w:t>
                      </w:r>
                      <w:r>
                        <w:t>Las presentes disposiciones serán de observancia obligatoria para los municipios, las demarcaciones territoriales del Distrito Federal y en su caso las entidades federativas.</w:t>
                      </w:r>
                    </w:p>
                    <w:p w:rsidR="008F7BD9" w:rsidRDefault="008F7BD9" w:rsidP="008F7BD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8F7BD9">
                        <w:rPr>
                          <w:b/>
                        </w:rPr>
                        <w:t>Norma:</w:t>
                      </w:r>
                      <w:r>
                        <w:t xml:space="preserve"> En apego al artículo 76 de la Ley General de </w:t>
                      </w:r>
                      <w:r>
                        <w:t>Contabilidad</w:t>
                      </w:r>
                      <w:r>
                        <w:t xml:space="preserve"> </w:t>
                      </w:r>
                      <w:r>
                        <w:t>Gubern</w:t>
                      </w:r>
                      <w:r>
                        <w:t xml:space="preserve">amental, los entes obligados </w:t>
                      </w:r>
                      <w:r>
                        <w:t>difundirán en Internet la información relativa al FORTAMUN, especificando cada uno de los destinos</w:t>
                      </w:r>
                      <w:r>
                        <w:t xml:space="preserve"> </w:t>
                      </w:r>
                      <w:r>
                        <w:t>señalados para dicho Fondo en la Ley de Coordinación Fiscal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76131" w:rsidSect="00197821">
      <w:headerReference w:type="default" r:id="rId7"/>
      <w:pgSz w:w="12240" w:h="15840"/>
      <w:pgMar w:top="1417" w:right="2034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9F" w:rsidRDefault="00F4479F" w:rsidP="00197821">
      <w:pPr>
        <w:spacing w:after="0" w:line="240" w:lineRule="auto"/>
      </w:pPr>
      <w:r>
        <w:separator/>
      </w:r>
    </w:p>
  </w:endnote>
  <w:endnote w:type="continuationSeparator" w:id="0">
    <w:p w:rsidR="00F4479F" w:rsidRDefault="00F4479F" w:rsidP="001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zo Sans Md"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9F" w:rsidRDefault="00F4479F" w:rsidP="00197821">
      <w:pPr>
        <w:spacing w:after="0" w:line="240" w:lineRule="auto"/>
      </w:pPr>
      <w:r>
        <w:separator/>
      </w:r>
    </w:p>
  </w:footnote>
  <w:footnote w:type="continuationSeparator" w:id="0">
    <w:p w:rsidR="00F4479F" w:rsidRDefault="00F4479F" w:rsidP="001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34" w:rsidRDefault="003B2E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-573405</wp:posOffset>
          </wp:positionH>
          <wp:positionV relativeFrom="paragraph">
            <wp:posOffset>-68580</wp:posOffset>
          </wp:positionV>
          <wp:extent cx="501475" cy="74676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-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47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95E"/>
    <w:multiLevelType w:val="hybridMultilevel"/>
    <w:tmpl w:val="D764C6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31"/>
    <w:rsid w:val="00197821"/>
    <w:rsid w:val="003B2E3C"/>
    <w:rsid w:val="003F2180"/>
    <w:rsid w:val="0048239A"/>
    <w:rsid w:val="0052191E"/>
    <w:rsid w:val="00632197"/>
    <w:rsid w:val="00715F07"/>
    <w:rsid w:val="00863A34"/>
    <w:rsid w:val="008F7BD9"/>
    <w:rsid w:val="00904880"/>
    <w:rsid w:val="00A26D2C"/>
    <w:rsid w:val="00A34CD4"/>
    <w:rsid w:val="00A476EB"/>
    <w:rsid w:val="00B94AAB"/>
    <w:rsid w:val="00C13BFB"/>
    <w:rsid w:val="00C25D92"/>
    <w:rsid w:val="00D76131"/>
    <w:rsid w:val="00DA5913"/>
    <w:rsid w:val="00E15AA8"/>
    <w:rsid w:val="00E35560"/>
    <w:rsid w:val="00EA7121"/>
    <w:rsid w:val="00F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00E91"/>
  <w15:chartTrackingRefBased/>
  <w15:docId w15:val="{928EE0CE-BC03-4522-ACF4-93B69DC9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B94A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97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821"/>
  </w:style>
  <w:style w:type="paragraph" w:styleId="Piedepgina">
    <w:name w:val="footer"/>
    <w:basedOn w:val="Normal"/>
    <w:link w:val="PiedepginaCar"/>
    <w:uiPriority w:val="99"/>
    <w:unhideWhenUsed/>
    <w:rsid w:val="00197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821"/>
  </w:style>
  <w:style w:type="paragraph" w:styleId="Textodeglobo">
    <w:name w:val="Balloon Text"/>
    <w:basedOn w:val="Normal"/>
    <w:link w:val="TextodegloboCar"/>
    <w:uiPriority w:val="99"/>
    <w:semiHidden/>
    <w:unhideWhenUsed/>
    <w:rsid w:val="008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A3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F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del Jesus Puga Antonio</dc:creator>
  <cp:keywords/>
  <dc:description/>
  <cp:lastModifiedBy>User</cp:lastModifiedBy>
  <cp:revision>3</cp:revision>
  <cp:lastPrinted>2017-01-12T17:46:00Z</cp:lastPrinted>
  <dcterms:created xsi:type="dcterms:W3CDTF">2017-01-23T19:14:00Z</dcterms:created>
  <dcterms:modified xsi:type="dcterms:W3CDTF">2017-03-10T21:20:00Z</dcterms:modified>
</cp:coreProperties>
</file>